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9"/>
        <w:gridCol w:w="5297"/>
      </w:tblGrid>
      <w:tr w:rsidR="0024062E" w:rsidRPr="000C3C66" w:rsidTr="00EC6E2C">
        <w:tc>
          <w:tcPr>
            <w:tcW w:w="45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2E" w:rsidRDefault="0024062E" w:rsidP="00EC6E2C">
            <w:pPr>
              <w:ind w:left="75" w:right="75" w:firstLine="634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042" w:rsidRDefault="00BB0042" w:rsidP="00EC6E2C">
            <w:pPr>
              <w:spacing w:before="0" w:beforeAutospacing="0" w:after="0" w:afterAutospacing="0"/>
              <w:ind w:firstLine="63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35 к приказу</w:t>
            </w:r>
          </w:p>
          <w:p w:rsidR="0024062E" w:rsidRDefault="00761D17" w:rsidP="00EC6E2C">
            <w:pPr>
              <w:spacing w:before="0" w:beforeAutospacing="0" w:after="0" w:afterAutospacing="0"/>
              <w:ind w:firstLine="63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0C3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C3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Солнечная СОШ №1»</w:t>
            </w:r>
            <w:r w:rsidR="00EC6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0C3C66">
              <w:rPr>
                <w:lang w:val="ru-RU"/>
              </w:rPr>
              <w:br/>
            </w:r>
            <w:r w:rsidRPr="000C3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C3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6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17.01.</w:t>
            </w:r>
            <w:r w:rsidRPr="000C3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Pr="000C3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C3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6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  <w:p w:rsidR="00EC6E2C" w:rsidRPr="000C3C66" w:rsidRDefault="00EC6E2C" w:rsidP="00EC6E2C">
            <w:pPr>
              <w:spacing w:before="0" w:beforeAutospacing="0" w:after="0" w:afterAutospacing="0"/>
              <w:ind w:firstLine="63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062E" w:rsidRPr="000C3C66" w:rsidRDefault="00761D17" w:rsidP="00EC6E2C">
      <w:pPr>
        <w:ind w:firstLine="634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C3C66">
        <w:rPr>
          <w:lang w:val="ru-RU"/>
        </w:rPr>
        <w:br/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споров</w:t>
      </w:r>
      <w:r w:rsid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участниками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бюджетном общеобразовательном учреждении «Солнечная средняя общеобразовательная школа №1»</w:t>
      </w:r>
    </w:p>
    <w:p w:rsidR="0024062E" w:rsidRPr="00EC6E2C" w:rsidRDefault="00761D17" w:rsidP="00EC6E2C">
      <w:pPr>
        <w:ind w:firstLine="63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E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униципального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C6E2C">
        <w:rPr>
          <w:rFonts w:hAnsi="Times New Roman" w:cs="Times New Roman"/>
          <w:color w:val="000000"/>
          <w:sz w:val="24"/>
          <w:szCs w:val="24"/>
          <w:lang w:val="ru-RU"/>
        </w:rPr>
        <w:t>Солнечная средняя общеобразовательная школа №1»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приме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содержащ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родите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равного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Делегирование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профсоюзным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выраженному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делегируется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2.2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безвозмездной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избирает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председа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теля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избираемый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фун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созыв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исходящих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вносимых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ленов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выписок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5.5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C6E2C">
        <w:rPr>
          <w:rFonts w:hAnsi="Times New Roman" w:cs="Times New Roman"/>
          <w:color w:val="000000"/>
          <w:sz w:val="24"/>
          <w:szCs w:val="24"/>
        </w:rPr>
        <w:t xml:space="preserve">2.14. </w:t>
      </w:r>
      <w:r w:rsidRPr="00EC6E2C">
        <w:rPr>
          <w:rFonts w:hAnsi="Times New Roman" w:cs="Times New Roman"/>
          <w:color w:val="000000"/>
          <w:sz w:val="24"/>
          <w:szCs w:val="24"/>
        </w:rPr>
        <w:t>Члены</w:t>
      </w:r>
      <w:r w:rsidRPr="00EC6E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</w:rPr>
        <w:t>имеют</w:t>
      </w:r>
      <w:r w:rsidRPr="00EC6E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</w:rPr>
        <w:t>право</w:t>
      </w:r>
      <w:r w:rsidRPr="00EC6E2C">
        <w:rPr>
          <w:rFonts w:hAnsi="Times New Roman" w:cs="Times New Roman"/>
          <w:color w:val="000000"/>
          <w:sz w:val="24"/>
          <w:szCs w:val="24"/>
        </w:rPr>
        <w:t>: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информаци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оглашается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приобщается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C6E2C">
        <w:rPr>
          <w:rFonts w:hAnsi="Times New Roman" w:cs="Times New Roman"/>
          <w:color w:val="000000"/>
          <w:sz w:val="24"/>
          <w:szCs w:val="24"/>
        </w:rPr>
        <w:t xml:space="preserve">2.15. </w:t>
      </w:r>
      <w:r w:rsidRPr="00EC6E2C">
        <w:rPr>
          <w:rFonts w:hAnsi="Times New Roman" w:cs="Times New Roman"/>
          <w:color w:val="000000"/>
          <w:sz w:val="24"/>
          <w:szCs w:val="24"/>
        </w:rPr>
        <w:t>Члены</w:t>
      </w:r>
      <w:r w:rsidRPr="00EC6E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</w:rPr>
        <w:t>обязаны</w:t>
      </w:r>
      <w:r w:rsidRPr="00EC6E2C">
        <w:rPr>
          <w:rFonts w:hAnsi="Times New Roman" w:cs="Times New Roman"/>
          <w:color w:val="000000"/>
          <w:sz w:val="24"/>
          <w:szCs w:val="24"/>
        </w:rPr>
        <w:t>: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фликта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отказываться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жалоб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внутрен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устанавливающих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дметов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объе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ктивное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урегулирование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стников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работодателями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объединени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рава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отмена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оставление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силе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вынесение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4.1.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Заседания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проводятся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основании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заявления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письменной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форме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EC6E2C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в форме эл</w:t>
      </w:r>
      <w:r w:rsidRPr="00EC6E2C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(функций)"(далее по тексту – Единый портал</w:t>
      </w:r>
      <w:r w:rsidRPr="00EC6E2C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EC6E2C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)</w:t>
      </w:r>
      <w:r w:rsidRPr="00EC6E2C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или </w:t>
      </w:r>
      <w:r w:rsidRPr="00EC6E2C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устно</w:t>
      </w:r>
      <w:r w:rsidRPr="00EC6E2C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го обращения от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участника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отно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шений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поступившего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непосредственно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комиссию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адрес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директора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школы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указанием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признаков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нарушений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прав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образование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лица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допустившего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указанные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нарушения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Pr="00EC6E2C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обращении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поданной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письменной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форме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казываются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оспариваемые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бучающемуся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оспариваемые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оспаривается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обжалуется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считает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нарушена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подающего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устном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называет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фамил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.....(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изложенные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устном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обращениями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изложенные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устном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очевидными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дан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поданном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лектронной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уникальный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идентификатор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Едином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портале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переадресации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доводов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прилагает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Заявление</w:t>
      </w:r>
      <w:r w:rsidRPr="00EC6E2C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поступившее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письменным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сроке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.4.7.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подпунктами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4.2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подпунктами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4.2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информаци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запрашиваемую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отказывает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рассмот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неявки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объективного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правомо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чным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сли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третей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разногл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асий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возложением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представителе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оспаривается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орые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EC6E2C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возложены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устран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профсоюзному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комитету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вляется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C6E2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исполнить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возложены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зас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едание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согласен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нарушенных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C3C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6E2C" w:rsidRPr="000C3C66" w:rsidRDefault="00EC6E2C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Pr="000C3C66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761D17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24062E" w:rsidRDefault="00761D17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</w:p>
    <w:p w:rsidR="0024062E" w:rsidRDefault="0024062E" w:rsidP="00EC6E2C">
      <w:pPr>
        <w:ind w:right="-22" w:firstLine="634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761D17" w:rsidP="00EC6E2C">
      <w:pPr>
        <w:ind w:right="-22" w:firstLine="634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24062E" w:rsidRDefault="0024062E" w:rsidP="00EC6E2C">
      <w:pPr>
        <w:ind w:right="-22" w:firstLine="634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.....</w:t>
      </w:r>
    </w:p>
    <w:p w:rsidR="0024062E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жалобы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4062E" w:rsidRDefault="00761D17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________________20____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________________  /_______________________/.</w:t>
      </w:r>
    </w:p>
    <w:p w:rsidR="0024062E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761D17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:rsidR="0024062E" w:rsidRDefault="00761D17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761D17" w:rsidP="00EC6E2C">
      <w:pPr>
        <w:ind w:right="-22" w:firstLine="634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24062E" w:rsidRDefault="00761D17" w:rsidP="00EC6E2C">
      <w:pPr>
        <w:ind w:right="-22" w:firstLine="634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......</w:t>
      </w:r>
    </w:p>
    <w:p w:rsidR="0024062E" w:rsidRDefault="0024062E" w:rsidP="00EC6E2C">
      <w:pPr>
        <w:ind w:right="-22" w:firstLine="634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062E" w:rsidRDefault="00761D17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20____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Default="00761D17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Окончен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___________20___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Default="00761D17" w:rsidP="00EC6E2C">
      <w:pPr>
        <w:ind w:right="-22" w:firstLine="634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листах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062E" w:rsidRDefault="0024062E" w:rsidP="00EC6E2C">
      <w:pPr>
        <w:ind w:right="-22" w:firstLine="634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b"/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1985"/>
        <w:gridCol w:w="1155"/>
        <w:gridCol w:w="1155"/>
        <w:gridCol w:w="1155"/>
        <w:gridCol w:w="1155"/>
      </w:tblGrid>
      <w:tr w:rsidR="0024062E">
        <w:tc>
          <w:tcPr>
            <w:tcW w:w="709" w:type="dxa"/>
          </w:tcPr>
          <w:p w:rsidR="0024062E" w:rsidRDefault="00761D17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</w:p>
          <w:p w:rsidR="0024062E" w:rsidRDefault="00761D17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1276" w:type="dxa"/>
          </w:tcPr>
          <w:p w:rsidR="0024062E" w:rsidRPr="000C3C66" w:rsidRDefault="00761D17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поступления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заявления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устного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обращения</w:t>
            </w:r>
          </w:p>
        </w:tc>
        <w:tc>
          <w:tcPr>
            <w:tcW w:w="850" w:type="dxa"/>
          </w:tcPr>
          <w:p w:rsidR="0024062E" w:rsidRDefault="00761D17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заяви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теля</w:t>
            </w:r>
          </w:p>
        </w:tc>
        <w:tc>
          <w:tcPr>
            <w:tcW w:w="1985" w:type="dxa"/>
          </w:tcPr>
          <w:p w:rsidR="0024062E" w:rsidRDefault="00761D17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Краткое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1155" w:type="dxa"/>
          </w:tcPr>
          <w:p w:rsidR="0024062E" w:rsidRPr="000C3C66" w:rsidRDefault="00761D17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протокола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заседания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комиссии</w:t>
            </w:r>
          </w:p>
        </w:tc>
        <w:tc>
          <w:tcPr>
            <w:tcW w:w="1155" w:type="dxa"/>
          </w:tcPr>
          <w:p w:rsidR="0024062E" w:rsidRDefault="00761D17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ответа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заявителю</w:t>
            </w:r>
          </w:p>
        </w:tc>
        <w:tc>
          <w:tcPr>
            <w:tcW w:w="1155" w:type="dxa"/>
          </w:tcPr>
          <w:p w:rsidR="0024062E" w:rsidRPr="000C3C66" w:rsidRDefault="00761D17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лица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регистри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рующего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заявление</w:t>
            </w:r>
          </w:p>
        </w:tc>
        <w:tc>
          <w:tcPr>
            <w:tcW w:w="1155" w:type="dxa"/>
          </w:tcPr>
          <w:p w:rsidR="0024062E" w:rsidRDefault="00761D17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лица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подавшего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заявление</w:t>
            </w:r>
          </w:p>
        </w:tc>
      </w:tr>
      <w:tr w:rsidR="0024062E">
        <w:tc>
          <w:tcPr>
            <w:tcW w:w="709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062E">
        <w:tc>
          <w:tcPr>
            <w:tcW w:w="709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24062E" w:rsidRDefault="0024062E" w:rsidP="00EC6E2C">
            <w:pPr>
              <w:ind w:right="-22" w:firstLine="634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062E" w:rsidRDefault="00761D17" w:rsidP="00EC6E2C">
      <w:pPr>
        <w:ind w:right="-22" w:firstLine="634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</w:p>
    <w:p w:rsidR="0024062E" w:rsidRDefault="0024062E" w:rsidP="00EC6E2C">
      <w:pPr>
        <w:ind w:right="-22" w:firstLine="634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761D17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24062E" w:rsidRDefault="00761D17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</w:p>
    <w:p w:rsidR="0024062E" w:rsidRDefault="00761D17" w:rsidP="00EC6E2C">
      <w:pPr>
        <w:ind w:right="-22" w:firstLine="634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4062E" w:rsidRDefault="00761D17" w:rsidP="00EC6E2C">
      <w:pPr>
        <w:ind w:right="-22" w:firstLine="634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.........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____________________20_____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 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инициалы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ФИО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Кворум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правомочна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голосовать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заслушивании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СЛУШАЛИ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ВЫСТУПИЛИ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ГОЛОСОВАЛИ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СЛУШАЛИ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ВЫСТУПИЛИ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ГОЛОСОВАЛИ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4062E" w:rsidRDefault="0024062E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:________________________ /__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_______________/</w:t>
      </w:r>
    </w:p>
    <w:p w:rsidR="0024062E" w:rsidRDefault="00761D17" w:rsidP="00EC6E2C">
      <w:pPr>
        <w:ind w:right="-22" w:firstLine="63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__________________________ /__________________/.</w:t>
      </w:r>
    </w:p>
    <w:p w:rsidR="0024062E" w:rsidRDefault="0024062E" w:rsidP="00EC6E2C">
      <w:pPr>
        <w:ind w:right="-22" w:firstLine="634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4062E" w:rsidSect="00EC6E2C">
      <w:pgSz w:w="11907" w:h="16839"/>
      <w:pgMar w:top="1440" w:right="708" w:bottom="1440" w:left="1440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17" w:rsidRDefault="00761D17">
      <w:pPr>
        <w:spacing w:after="0"/>
      </w:pPr>
      <w:r>
        <w:separator/>
      </w:r>
    </w:p>
  </w:endnote>
  <w:endnote w:type="continuationSeparator" w:id="0">
    <w:p w:rsidR="00761D17" w:rsidRDefault="00761D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17" w:rsidRDefault="00761D17">
      <w:pPr>
        <w:spacing w:after="0"/>
      </w:pPr>
      <w:r>
        <w:separator/>
      </w:r>
    </w:p>
  </w:footnote>
  <w:footnote w:type="continuationSeparator" w:id="0">
    <w:p w:rsidR="00761D17" w:rsidRDefault="00761D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802A4"/>
    <w:multiLevelType w:val="hybridMultilevel"/>
    <w:tmpl w:val="0592FCE2"/>
    <w:lvl w:ilvl="0" w:tplc="222AFDCE">
      <w:start w:val="1"/>
      <w:numFmt w:val="decimal"/>
      <w:lvlText w:val="%1."/>
      <w:lvlJc w:val="left"/>
      <w:pPr>
        <w:ind w:left="709" w:hanging="360"/>
      </w:pPr>
    </w:lvl>
    <w:lvl w:ilvl="1" w:tplc="6A6401E4">
      <w:start w:val="1"/>
      <w:numFmt w:val="lowerLetter"/>
      <w:lvlText w:val="%2."/>
      <w:lvlJc w:val="left"/>
      <w:pPr>
        <w:ind w:left="1429" w:hanging="360"/>
      </w:pPr>
    </w:lvl>
    <w:lvl w:ilvl="2" w:tplc="08FCEF84">
      <w:start w:val="1"/>
      <w:numFmt w:val="lowerRoman"/>
      <w:lvlText w:val="%3."/>
      <w:lvlJc w:val="right"/>
      <w:pPr>
        <w:ind w:left="2149" w:hanging="180"/>
      </w:pPr>
    </w:lvl>
    <w:lvl w:ilvl="3" w:tplc="5A480CB6">
      <w:start w:val="1"/>
      <w:numFmt w:val="decimal"/>
      <w:lvlText w:val="%4."/>
      <w:lvlJc w:val="left"/>
      <w:pPr>
        <w:ind w:left="2869" w:hanging="360"/>
      </w:pPr>
    </w:lvl>
    <w:lvl w:ilvl="4" w:tplc="FCE6A9F4">
      <w:start w:val="1"/>
      <w:numFmt w:val="lowerLetter"/>
      <w:lvlText w:val="%5."/>
      <w:lvlJc w:val="left"/>
      <w:pPr>
        <w:ind w:left="3589" w:hanging="360"/>
      </w:pPr>
    </w:lvl>
    <w:lvl w:ilvl="5" w:tplc="9830D688">
      <w:start w:val="1"/>
      <w:numFmt w:val="lowerRoman"/>
      <w:lvlText w:val="%6."/>
      <w:lvlJc w:val="right"/>
      <w:pPr>
        <w:ind w:left="4309" w:hanging="180"/>
      </w:pPr>
    </w:lvl>
    <w:lvl w:ilvl="6" w:tplc="BBE6F524">
      <w:start w:val="1"/>
      <w:numFmt w:val="decimal"/>
      <w:lvlText w:val="%7."/>
      <w:lvlJc w:val="left"/>
      <w:pPr>
        <w:ind w:left="5029" w:hanging="360"/>
      </w:pPr>
    </w:lvl>
    <w:lvl w:ilvl="7" w:tplc="E7343CB6">
      <w:start w:val="1"/>
      <w:numFmt w:val="lowerLetter"/>
      <w:lvlText w:val="%8."/>
      <w:lvlJc w:val="left"/>
      <w:pPr>
        <w:ind w:left="5749" w:hanging="360"/>
      </w:pPr>
    </w:lvl>
    <w:lvl w:ilvl="8" w:tplc="69E4EF2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2E"/>
    <w:rsid w:val="000C3C66"/>
    <w:rsid w:val="0024062E"/>
    <w:rsid w:val="00761D17"/>
    <w:rsid w:val="00BB0042"/>
    <w:rsid w:val="00E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1500C-8BBC-4B4B-8304-0825A5B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 w:afterAutospacing="0"/>
    </w:pPr>
  </w:style>
  <w:style w:type="paragraph" w:customStyle="1" w:styleId="111">
    <w:name w:val="Заголовок 11"/>
    <w:basedOn w:val="a"/>
    <w:next w:val="a"/>
    <w:link w:val="Heading1Char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link w:val="1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2024-07-15T08:26:00Z</dcterms:created>
  <dcterms:modified xsi:type="dcterms:W3CDTF">2024-07-15T08:26:00Z</dcterms:modified>
</cp:coreProperties>
</file>